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CCA2" w14:textId="77777777" w:rsidR="004E2E07" w:rsidRDefault="004E2E07" w:rsidP="0016099F">
      <w:pPr>
        <w:spacing w:line="276" w:lineRule="auto"/>
        <w:ind w:left="-284"/>
        <w:jc w:val="center"/>
        <w:rPr>
          <w:rFonts w:asciiTheme="majorBidi" w:hAnsiTheme="majorBidi" w:cstheme="majorBidi"/>
          <w:b/>
          <w:bCs/>
          <w:color w:val="2F5496" w:themeColor="accent1" w:themeShade="BF"/>
          <w:sz w:val="44"/>
          <w:szCs w:val="44"/>
        </w:rPr>
      </w:pPr>
      <w:r w:rsidRPr="006009F2">
        <w:rPr>
          <w:rFonts w:asciiTheme="majorBidi" w:hAnsiTheme="majorBidi" w:cstheme="majorBidi"/>
          <w:b/>
          <w:bCs/>
          <w:color w:val="2F5496" w:themeColor="accent1" w:themeShade="BF"/>
          <w:sz w:val="44"/>
          <w:szCs w:val="44"/>
        </w:rPr>
        <w:t>Communiqué de presse</w:t>
      </w:r>
    </w:p>
    <w:p w14:paraId="7AEC8109" w14:textId="50AF02C9" w:rsidR="00AB53D9" w:rsidRPr="0016099F" w:rsidRDefault="00771D99" w:rsidP="0016099F">
      <w:pPr>
        <w:spacing w:line="276" w:lineRule="auto"/>
        <w:ind w:left="-284"/>
        <w:jc w:val="center"/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</w:pPr>
      <w:r w:rsidRPr="0016099F">
        <w:rPr>
          <w:rFonts w:asciiTheme="majorBidi" w:hAnsiTheme="majorBidi" w:cstheme="majorBidi"/>
          <w:sz w:val="32"/>
          <w:szCs w:val="32"/>
        </w:rPr>
        <w:br w:type="textWrapping" w:clear="all"/>
      </w:r>
      <w:r w:rsidR="00AB53D9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 xml:space="preserve">TAMWILCOM et FINEA </w:t>
      </w:r>
      <w:r w:rsidR="00907E95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>renforcent leur</w:t>
      </w:r>
      <w:r w:rsidR="009D73A2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 xml:space="preserve"> partenariat </w:t>
      </w:r>
      <w:r w:rsid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 xml:space="preserve">               </w:t>
      </w:r>
      <w:r w:rsidR="009D73A2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 xml:space="preserve">pour </w:t>
      </w:r>
      <w:r w:rsidR="00907E95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 xml:space="preserve">un meilleur </w:t>
      </w:r>
      <w:r w:rsidR="003143D4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 xml:space="preserve">accès </w:t>
      </w:r>
      <w:r w:rsidR="0016099F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>des</w:t>
      </w:r>
      <w:r w:rsidR="00AB53D9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 xml:space="preserve"> entreprises </w:t>
      </w:r>
      <w:r w:rsidR="0016099F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>aux</w:t>
      </w:r>
      <w:r w:rsidR="003143D4" w:rsidRPr="0016099F">
        <w:rPr>
          <w:rFonts w:asciiTheme="majorBidi" w:hAnsiTheme="majorBidi" w:cstheme="majorBidi"/>
          <w:b/>
          <w:bCs/>
          <w:color w:val="2F5496" w:themeColor="accent1" w:themeShade="BF"/>
          <w:sz w:val="32"/>
          <w:szCs w:val="32"/>
        </w:rPr>
        <w:t xml:space="preserve"> marchés publics</w:t>
      </w:r>
    </w:p>
    <w:p w14:paraId="092C099C" w14:textId="77777777" w:rsidR="00BE03BC" w:rsidRPr="003E379D" w:rsidRDefault="00BE03BC" w:rsidP="00524D18">
      <w:pPr>
        <w:spacing w:line="276" w:lineRule="auto"/>
        <w:jc w:val="both"/>
        <w:rPr>
          <w:rFonts w:asciiTheme="majorBidi" w:hAnsiTheme="majorBidi" w:cstheme="majorBidi"/>
          <w:color w:val="2F5496" w:themeColor="accent1" w:themeShade="BF"/>
          <w:sz w:val="26"/>
          <w:szCs w:val="26"/>
        </w:rPr>
      </w:pPr>
    </w:p>
    <w:p w14:paraId="7FBF4E5C" w14:textId="06818743" w:rsidR="00EB576F" w:rsidRDefault="00FE6329" w:rsidP="00A4183E">
      <w:pPr>
        <w:tabs>
          <w:tab w:val="left" w:pos="4931"/>
          <w:tab w:val="left" w:pos="5366"/>
        </w:tabs>
        <w:spacing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3E379D">
        <w:rPr>
          <w:rFonts w:asciiTheme="majorBidi" w:hAnsiTheme="majorBidi" w:cstheme="majorBidi"/>
          <w:b/>
          <w:bCs/>
          <w:color w:val="2F5496" w:themeColor="accent1" w:themeShade="BF"/>
          <w:sz w:val="26"/>
          <w:szCs w:val="26"/>
        </w:rPr>
        <w:t xml:space="preserve">Rabat, </w:t>
      </w:r>
      <w:r w:rsidR="00642AD8">
        <w:rPr>
          <w:rFonts w:asciiTheme="majorBidi" w:hAnsiTheme="majorBidi" w:cstheme="majorBidi"/>
          <w:b/>
          <w:bCs/>
          <w:color w:val="2F5496" w:themeColor="accent1" w:themeShade="BF"/>
          <w:sz w:val="26"/>
          <w:szCs w:val="26"/>
        </w:rPr>
        <w:t xml:space="preserve">jeudi </w:t>
      </w:r>
      <w:r w:rsidRPr="003E379D">
        <w:rPr>
          <w:rFonts w:asciiTheme="majorBidi" w:hAnsiTheme="majorBidi" w:cstheme="majorBidi"/>
          <w:b/>
          <w:bCs/>
          <w:color w:val="2F5496" w:themeColor="accent1" w:themeShade="BF"/>
          <w:sz w:val="26"/>
          <w:szCs w:val="26"/>
        </w:rPr>
        <w:t>1</w:t>
      </w:r>
      <w:r w:rsidR="00642AD8">
        <w:rPr>
          <w:rFonts w:asciiTheme="majorBidi" w:hAnsiTheme="majorBidi" w:cstheme="majorBidi"/>
          <w:b/>
          <w:bCs/>
          <w:color w:val="2F5496" w:themeColor="accent1" w:themeShade="BF"/>
          <w:sz w:val="26"/>
          <w:szCs w:val="26"/>
        </w:rPr>
        <w:t>7</w:t>
      </w:r>
      <w:r w:rsidRPr="003E379D">
        <w:rPr>
          <w:rFonts w:asciiTheme="majorBidi" w:hAnsiTheme="majorBidi" w:cstheme="majorBidi"/>
          <w:b/>
          <w:bCs/>
          <w:color w:val="2F5496" w:themeColor="accent1" w:themeShade="BF"/>
          <w:sz w:val="26"/>
          <w:szCs w:val="26"/>
        </w:rPr>
        <w:t xml:space="preserve"> juillet 2025</w:t>
      </w:r>
      <w:r w:rsidR="00BC38F9">
        <w:rPr>
          <w:rFonts w:asciiTheme="majorBidi" w:hAnsiTheme="majorBidi" w:cstheme="majorBidi"/>
          <w:b/>
          <w:bCs/>
          <w:color w:val="2F5496" w:themeColor="accent1" w:themeShade="BF"/>
          <w:sz w:val="26"/>
          <w:szCs w:val="26"/>
        </w:rPr>
        <w:t xml:space="preserve"> </w:t>
      </w:r>
      <w:r w:rsidR="00E22CAC" w:rsidRPr="00BC38F9">
        <w:rPr>
          <w:rFonts w:asciiTheme="majorBidi" w:hAnsiTheme="majorBidi" w:cstheme="majorBidi"/>
          <w:b/>
          <w:bCs/>
          <w:color w:val="2F5496" w:themeColor="accent1" w:themeShade="BF"/>
          <w:sz w:val="26"/>
          <w:szCs w:val="26"/>
        </w:rPr>
        <w:t>-</w:t>
      </w:r>
      <w:r w:rsidR="00E22CAC" w:rsidRPr="003E379D">
        <w:rPr>
          <w:rFonts w:asciiTheme="majorBidi" w:hAnsiTheme="majorBidi" w:cstheme="majorBidi"/>
          <w:sz w:val="26"/>
          <w:szCs w:val="26"/>
        </w:rPr>
        <w:t xml:space="preserve"> Dans</w:t>
      </w:r>
      <w:r w:rsidR="00AA63C7" w:rsidRPr="00120B99">
        <w:rPr>
          <w:rFonts w:asciiTheme="majorBidi" w:hAnsiTheme="majorBidi" w:cstheme="majorBidi"/>
          <w:sz w:val="26"/>
          <w:szCs w:val="26"/>
          <w:lang w:val="fr-MA"/>
        </w:rPr>
        <w:t xml:space="preserve"> la continuité de leur collaboration stratégique, </w:t>
      </w:r>
      <w:r w:rsidR="00BF55C4" w:rsidRPr="00527B70">
        <w:rPr>
          <w:rFonts w:asciiTheme="majorBidi" w:hAnsiTheme="majorBidi" w:cstheme="majorBidi"/>
          <w:sz w:val="26"/>
          <w:szCs w:val="26"/>
          <w:lang w:val="fr-MA"/>
        </w:rPr>
        <w:t xml:space="preserve">TAMWILCOM et </w:t>
      </w:r>
      <w:proofErr w:type="spellStart"/>
      <w:r w:rsidR="00527B70" w:rsidRPr="00527B70">
        <w:rPr>
          <w:rFonts w:asciiTheme="majorBidi" w:hAnsiTheme="majorBidi" w:cstheme="majorBidi"/>
          <w:sz w:val="26"/>
          <w:szCs w:val="26"/>
          <w:lang w:val="fr-MA"/>
        </w:rPr>
        <w:t>Finéa</w:t>
      </w:r>
      <w:proofErr w:type="spellEnd"/>
      <w:r w:rsidR="00527B70" w:rsidRPr="00527B70">
        <w:rPr>
          <w:rFonts w:asciiTheme="majorBidi" w:hAnsiTheme="majorBidi" w:cstheme="majorBidi"/>
          <w:sz w:val="26"/>
          <w:szCs w:val="26"/>
          <w:lang w:val="fr-MA"/>
        </w:rPr>
        <w:t>, filiale du Groupe CDG,</w:t>
      </w:r>
      <w:r w:rsidR="00BF55C4" w:rsidRPr="00527B70">
        <w:rPr>
          <w:rFonts w:asciiTheme="majorBidi" w:hAnsiTheme="majorBidi" w:cstheme="majorBidi"/>
          <w:sz w:val="26"/>
          <w:szCs w:val="26"/>
          <w:lang w:val="fr-MA"/>
        </w:rPr>
        <w:t xml:space="preserve"> ont</w:t>
      </w:r>
      <w:r w:rsidR="00BF55C4" w:rsidRPr="003E379D">
        <w:rPr>
          <w:rFonts w:asciiTheme="majorBidi" w:hAnsiTheme="majorBidi" w:cstheme="majorBidi"/>
          <w:sz w:val="26"/>
          <w:szCs w:val="26"/>
        </w:rPr>
        <w:t xml:space="preserve"> </w:t>
      </w:r>
      <w:r w:rsidR="00AA63C7" w:rsidRPr="00120B99">
        <w:rPr>
          <w:rFonts w:asciiTheme="majorBidi" w:hAnsiTheme="majorBidi" w:cstheme="majorBidi"/>
          <w:sz w:val="26"/>
          <w:szCs w:val="26"/>
          <w:lang w:val="fr-MA"/>
        </w:rPr>
        <w:t xml:space="preserve">scellé un </w:t>
      </w:r>
      <w:r w:rsidR="00125670">
        <w:rPr>
          <w:rFonts w:asciiTheme="majorBidi" w:hAnsiTheme="majorBidi" w:cstheme="majorBidi"/>
          <w:sz w:val="26"/>
          <w:szCs w:val="26"/>
          <w:lang w:val="fr-MA"/>
        </w:rPr>
        <w:t>nouveau</w:t>
      </w:r>
      <w:r w:rsidR="00AA63C7" w:rsidRPr="00120B99">
        <w:rPr>
          <w:rFonts w:asciiTheme="majorBidi" w:hAnsiTheme="majorBidi" w:cstheme="majorBidi"/>
          <w:sz w:val="26"/>
          <w:szCs w:val="26"/>
          <w:lang w:val="fr-MA"/>
        </w:rPr>
        <w:t xml:space="preserve"> </w:t>
      </w:r>
      <w:r w:rsidR="00125670">
        <w:rPr>
          <w:rFonts w:asciiTheme="majorBidi" w:hAnsiTheme="majorBidi" w:cstheme="majorBidi"/>
          <w:sz w:val="26"/>
          <w:szCs w:val="26"/>
          <w:lang w:val="fr-MA"/>
        </w:rPr>
        <w:t>partenariat</w:t>
      </w:r>
      <w:r w:rsidR="00AA63C7" w:rsidRPr="00120B99">
        <w:rPr>
          <w:rFonts w:asciiTheme="majorBidi" w:hAnsiTheme="majorBidi" w:cstheme="majorBidi"/>
          <w:sz w:val="26"/>
          <w:szCs w:val="26"/>
          <w:lang w:val="fr-MA"/>
        </w:rPr>
        <w:t xml:space="preserve"> visant à </w:t>
      </w:r>
      <w:r w:rsidR="00B91780">
        <w:rPr>
          <w:rFonts w:asciiTheme="majorBidi" w:hAnsiTheme="majorBidi" w:cstheme="majorBidi"/>
          <w:sz w:val="26"/>
          <w:szCs w:val="26"/>
        </w:rPr>
        <w:t xml:space="preserve">renforcer leur action commune </w:t>
      </w:r>
      <w:r w:rsidR="00E1525A">
        <w:rPr>
          <w:rFonts w:asciiTheme="majorBidi" w:hAnsiTheme="majorBidi" w:cstheme="majorBidi"/>
          <w:sz w:val="26"/>
          <w:szCs w:val="26"/>
        </w:rPr>
        <w:t>en faveur</w:t>
      </w:r>
      <w:r w:rsidR="00EB576F">
        <w:rPr>
          <w:rFonts w:asciiTheme="majorBidi" w:hAnsiTheme="majorBidi" w:cstheme="majorBidi"/>
          <w:sz w:val="26"/>
          <w:szCs w:val="26"/>
        </w:rPr>
        <w:t xml:space="preserve"> </w:t>
      </w:r>
      <w:r w:rsidR="005678D7" w:rsidRPr="009D73A2">
        <w:rPr>
          <w:rFonts w:asciiTheme="majorBidi" w:hAnsiTheme="majorBidi" w:cstheme="majorBidi"/>
          <w:sz w:val="26"/>
          <w:szCs w:val="26"/>
        </w:rPr>
        <w:t>des Très Petites, Petites et Moyennes Entreprises (TPME</w:t>
      </w:r>
      <w:r w:rsidR="00F65331">
        <w:rPr>
          <w:rFonts w:asciiTheme="majorBidi" w:hAnsiTheme="majorBidi" w:cstheme="majorBidi"/>
          <w:sz w:val="26"/>
          <w:szCs w:val="26"/>
        </w:rPr>
        <w:t>)</w:t>
      </w:r>
      <w:r w:rsidR="00BF55C4" w:rsidRPr="003E379D">
        <w:rPr>
          <w:rFonts w:asciiTheme="majorBidi" w:hAnsiTheme="majorBidi" w:cstheme="majorBidi"/>
          <w:sz w:val="26"/>
          <w:szCs w:val="26"/>
        </w:rPr>
        <w:t xml:space="preserve">. </w:t>
      </w:r>
    </w:p>
    <w:p w14:paraId="7D661C75" w14:textId="465A5466" w:rsidR="009D73A2" w:rsidRDefault="00BF55C4" w:rsidP="00A4183E">
      <w:pPr>
        <w:tabs>
          <w:tab w:val="left" w:pos="4931"/>
          <w:tab w:val="left" w:pos="5366"/>
        </w:tabs>
        <w:spacing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3E379D">
        <w:rPr>
          <w:rFonts w:asciiTheme="majorBidi" w:hAnsiTheme="majorBidi" w:cstheme="majorBidi"/>
          <w:sz w:val="26"/>
          <w:szCs w:val="26"/>
        </w:rPr>
        <w:t xml:space="preserve">À cet effet, </w:t>
      </w:r>
      <w:r w:rsidRPr="00485CDE">
        <w:rPr>
          <w:rFonts w:asciiTheme="majorBidi" w:hAnsiTheme="majorBidi" w:cstheme="majorBidi"/>
          <w:b/>
          <w:bCs/>
          <w:sz w:val="26"/>
          <w:szCs w:val="26"/>
        </w:rPr>
        <w:t>M. Said JABRANI</w:t>
      </w:r>
      <w:r w:rsidRPr="003E379D">
        <w:rPr>
          <w:rFonts w:asciiTheme="majorBidi" w:hAnsiTheme="majorBidi" w:cstheme="majorBidi"/>
          <w:sz w:val="26"/>
          <w:szCs w:val="26"/>
        </w:rPr>
        <w:t xml:space="preserve">, Directeur Général de TAMWILCOM, et </w:t>
      </w:r>
      <w:r w:rsidR="00377714">
        <w:rPr>
          <w:rFonts w:asciiTheme="majorBidi" w:hAnsiTheme="majorBidi" w:cstheme="majorBidi"/>
          <w:sz w:val="26"/>
          <w:szCs w:val="26"/>
        </w:rPr>
        <w:t xml:space="preserve">                        </w:t>
      </w:r>
      <w:r w:rsidRPr="00485CDE">
        <w:rPr>
          <w:rFonts w:asciiTheme="majorBidi" w:hAnsiTheme="majorBidi" w:cstheme="majorBidi"/>
          <w:b/>
          <w:bCs/>
          <w:sz w:val="26"/>
          <w:szCs w:val="26"/>
        </w:rPr>
        <w:t>M. Mohammed BELMAACHI</w:t>
      </w:r>
      <w:r w:rsidRPr="003E379D">
        <w:rPr>
          <w:rFonts w:asciiTheme="majorBidi" w:hAnsiTheme="majorBidi" w:cstheme="majorBidi"/>
          <w:sz w:val="26"/>
          <w:szCs w:val="26"/>
        </w:rPr>
        <w:t xml:space="preserve">, Directeur Général de </w:t>
      </w:r>
      <w:proofErr w:type="spellStart"/>
      <w:r w:rsidR="00527B70" w:rsidRPr="00527B70">
        <w:rPr>
          <w:rFonts w:asciiTheme="majorBidi" w:hAnsiTheme="majorBidi" w:cstheme="majorBidi"/>
          <w:sz w:val="26"/>
          <w:szCs w:val="26"/>
          <w:lang w:val="fr-MA"/>
        </w:rPr>
        <w:t>Finéa</w:t>
      </w:r>
      <w:proofErr w:type="spellEnd"/>
      <w:r w:rsidRPr="003E379D">
        <w:rPr>
          <w:rFonts w:asciiTheme="majorBidi" w:hAnsiTheme="majorBidi" w:cstheme="majorBidi"/>
          <w:sz w:val="26"/>
          <w:szCs w:val="26"/>
        </w:rPr>
        <w:t>, ont procédé ce mercredi 16 juillet à Rabat à la signature d’un</w:t>
      </w:r>
      <w:r w:rsidR="00681FAF">
        <w:rPr>
          <w:rFonts w:asciiTheme="majorBidi" w:hAnsiTheme="majorBidi" w:cstheme="majorBidi"/>
          <w:sz w:val="26"/>
          <w:szCs w:val="26"/>
        </w:rPr>
        <w:t xml:space="preserve">e convention de coopération </w:t>
      </w:r>
      <w:r w:rsidRPr="003E379D">
        <w:rPr>
          <w:rFonts w:asciiTheme="majorBidi" w:hAnsiTheme="majorBidi" w:cstheme="majorBidi"/>
          <w:sz w:val="26"/>
          <w:szCs w:val="26"/>
        </w:rPr>
        <w:t xml:space="preserve">portant sur </w:t>
      </w:r>
      <w:r w:rsidRPr="00061583">
        <w:rPr>
          <w:rFonts w:asciiTheme="majorBidi" w:hAnsiTheme="majorBidi" w:cstheme="majorBidi"/>
          <w:b/>
          <w:bCs/>
          <w:sz w:val="26"/>
          <w:szCs w:val="26"/>
        </w:rPr>
        <w:t>la garantie des lignes de financement à moyen et long terme</w:t>
      </w:r>
      <w:r w:rsidRPr="003E379D">
        <w:rPr>
          <w:rFonts w:asciiTheme="majorBidi" w:hAnsiTheme="majorBidi" w:cstheme="majorBidi"/>
          <w:sz w:val="26"/>
          <w:szCs w:val="26"/>
        </w:rPr>
        <w:t xml:space="preserve"> destinées aux </w:t>
      </w:r>
      <w:r w:rsidRPr="00061583">
        <w:rPr>
          <w:rFonts w:asciiTheme="majorBidi" w:hAnsiTheme="majorBidi" w:cstheme="majorBidi"/>
          <w:b/>
          <w:bCs/>
          <w:sz w:val="26"/>
          <w:szCs w:val="26"/>
        </w:rPr>
        <w:t>entreprises privées</w:t>
      </w:r>
      <w:r w:rsidR="009D73A2">
        <w:rPr>
          <w:rFonts w:asciiTheme="majorBidi" w:hAnsiTheme="majorBidi" w:cstheme="majorBidi"/>
          <w:sz w:val="26"/>
          <w:szCs w:val="26"/>
        </w:rPr>
        <w:t xml:space="preserve"> </w:t>
      </w:r>
      <w:r w:rsidR="0039106D">
        <w:rPr>
          <w:rFonts w:asciiTheme="majorBidi" w:hAnsiTheme="majorBidi" w:cstheme="majorBidi"/>
          <w:sz w:val="27"/>
          <w:szCs w:val="27"/>
        </w:rPr>
        <w:t xml:space="preserve">attributaires </w:t>
      </w:r>
      <w:r w:rsidR="009D73A2" w:rsidRPr="009D73A2">
        <w:rPr>
          <w:rFonts w:asciiTheme="majorBidi" w:hAnsiTheme="majorBidi" w:cstheme="majorBidi"/>
          <w:sz w:val="26"/>
          <w:szCs w:val="26"/>
        </w:rPr>
        <w:t xml:space="preserve">de </w:t>
      </w:r>
      <w:r w:rsidR="009D73A2" w:rsidRPr="00061583">
        <w:rPr>
          <w:rFonts w:asciiTheme="majorBidi" w:hAnsiTheme="majorBidi" w:cstheme="majorBidi"/>
          <w:b/>
          <w:bCs/>
          <w:sz w:val="26"/>
          <w:szCs w:val="26"/>
        </w:rPr>
        <w:t>marchés publics</w:t>
      </w:r>
      <w:r w:rsidR="009D73A2" w:rsidRPr="009D73A2">
        <w:rPr>
          <w:rFonts w:asciiTheme="majorBidi" w:hAnsiTheme="majorBidi" w:cstheme="majorBidi"/>
          <w:sz w:val="26"/>
          <w:szCs w:val="26"/>
        </w:rPr>
        <w:t>.  </w:t>
      </w:r>
    </w:p>
    <w:p w14:paraId="283AAA94" w14:textId="7B85F57F" w:rsidR="0039106D" w:rsidRPr="004E2E07" w:rsidRDefault="0039106D" w:rsidP="004E2E07">
      <w:pPr>
        <w:tabs>
          <w:tab w:val="left" w:pos="4931"/>
          <w:tab w:val="left" w:pos="5366"/>
        </w:tabs>
        <w:spacing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4E2E07">
        <w:rPr>
          <w:rFonts w:asciiTheme="majorBidi" w:hAnsiTheme="majorBidi" w:cstheme="majorBidi"/>
          <w:sz w:val="26"/>
          <w:szCs w:val="26"/>
        </w:rPr>
        <w:t xml:space="preserve">Cette nouvelle convention vient </w:t>
      </w:r>
      <w:r w:rsidR="001F513B">
        <w:rPr>
          <w:rFonts w:asciiTheme="majorBidi" w:hAnsiTheme="majorBidi" w:cstheme="majorBidi"/>
          <w:sz w:val="26"/>
          <w:szCs w:val="26"/>
        </w:rPr>
        <w:t>étendre</w:t>
      </w:r>
      <w:r w:rsidRPr="004E2E07">
        <w:rPr>
          <w:rFonts w:asciiTheme="majorBidi" w:hAnsiTheme="majorBidi" w:cstheme="majorBidi"/>
          <w:sz w:val="26"/>
          <w:szCs w:val="26"/>
        </w:rPr>
        <w:t xml:space="preserve"> le champ d'action du partenariat initié en août 2023 entre les deux institutions, lequel portait exclusivement sur la garantie des lignes de financement à court terme. </w:t>
      </w:r>
    </w:p>
    <w:p w14:paraId="0605729F" w14:textId="375DD3EB" w:rsidR="004E2E07" w:rsidRPr="004E2E07" w:rsidRDefault="004E2E07" w:rsidP="004E2E07">
      <w:pPr>
        <w:tabs>
          <w:tab w:val="left" w:pos="4931"/>
          <w:tab w:val="left" w:pos="5366"/>
        </w:tabs>
        <w:spacing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4E2E07">
        <w:rPr>
          <w:rFonts w:asciiTheme="majorBidi" w:hAnsiTheme="majorBidi" w:cstheme="majorBidi"/>
          <w:sz w:val="26"/>
          <w:szCs w:val="26"/>
        </w:rPr>
        <w:t xml:space="preserve">Cette collaboration, consolidée aujourd’hui par une deuxième convention, illustre l’importance de la synergie inter-institutionnelle dans la mise en œuvre de solutions de financement plus adaptées, accessibles et ciblées. </w:t>
      </w:r>
      <w:r w:rsidR="00527B70" w:rsidRPr="00527B70">
        <w:rPr>
          <w:rFonts w:asciiTheme="majorBidi" w:hAnsiTheme="majorBidi" w:cstheme="majorBidi"/>
          <w:sz w:val="26"/>
          <w:szCs w:val="26"/>
          <w:lang w:val="fr-MA"/>
        </w:rPr>
        <w:t xml:space="preserve">TAMWILCOM et </w:t>
      </w:r>
      <w:proofErr w:type="spellStart"/>
      <w:r w:rsidR="00527B70" w:rsidRPr="00527B70">
        <w:rPr>
          <w:rFonts w:asciiTheme="majorBidi" w:hAnsiTheme="majorBidi" w:cstheme="majorBidi"/>
          <w:sz w:val="26"/>
          <w:szCs w:val="26"/>
          <w:lang w:val="fr-MA"/>
        </w:rPr>
        <w:t>Finéa</w:t>
      </w:r>
      <w:proofErr w:type="spellEnd"/>
      <w:r w:rsidR="00527B70" w:rsidRPr="004E2E07">
        <w:rPr>
          <w:rFonts w:asciiTheme="majorBidi" w:hAnsiTheme="majorBidi" w:cstheme="majorBidi"/>
          <w:sz w:val="26"/>
          <w:szCs w:val="26"/>
        </w:rPr>
        <w:t xml:space="preserve"> </w:t>
      </w:r>
      <w:r w:rsidRPr="004E2E07">
        <w:rPr>
          <w:rFonts w:asciiTheme="majorBidi" w:hAnsiTheme="majorBidi" w:cstheme="majorBidi"/>
          <w:sz w:val="26"/>
          <w:szCs w:val="26"/>
        </w:rPr>
        <w:t>élargissent ainsi la portée de leurs interventions en intégrant les financements à moyen et long terme, et contribuent au développement de l’économie nationale et à la promotion d’un environnement favorable à la compétitivité des TPME attributaires de marchés publics.</w:t>
      </w:r>
    </w:p>
    <w:p w14:paraId="0C0B4AA1" w14:textId="77777777" w:rsidR="0039106D" w:rsidRPr="004E2E07" w:rsidRDefault="0039106D" w:rsidP="00A4183E">
      <w:pPr>
        <w:tabs>
          <w:tab w:val="left" w:pos="4931"/>
          <w:tab w:val="left" w:pos="5366"/>
        </w:tabs>
        <w:spacing w:line="360" w:lineRule="auto"/>
        <w:jc w:val="both"/>
        <w:rPr>
          <w:rFonts w:asciiTheme="majorBidi" w:hAnsiTheme="majorBidi" w:cstheme="majorBidi"/>
          <w:sz w:val="26"/>
          <w:szCs w:val="26"/>
        </w:rPr>
      </w:pPr>
    </w:p>
    <w:sectPr w:rsidR="0039106D" w:rsidRPr="004E2E07" w:rsidSect="00BC38F9">
      <w:headerReference w:type="default" r:id="rId7"/>
      <w:pgSz w:w="11906" w:h="16838"/>
      <w:pgMar w:top="1440" w:right="1440" w:bottom="1440" w:left="1440" w:header="708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15A1" w14:textId="77777777" w:rsidR="00887560" w:rsidRDefault="00887560" w:rsidP="00771D99">
      <w:pPr>
        <w:spacing w:after="0" w:line="240" w:lineRule="auto"/>
      </w:pPr>
      <w:r>
        <w:separator/>
      </w:r>
    </w:p>
  </w:endnote>
  <w:endnote w:type="continuationSeparator" w:id="0">
    <w:p w14:paraId="1AE18690" w14:textId="77777777" w:rsidR="00887560" w:rsidRDefault="00887560" w:rsidP="00771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8404" w14:textId="77777777" w:rsidR="00887560" w:rsidRDefault="00887560" w:rsidP="00771D99">
      <w:pPr>
        <w:spacing w:after="0" w:line="240" w:lineRule="auto"/>
      </w:pPr>
      <w:r>
        <w:separator/>
      </w:r>
    </w:p>
  </w:footnote>
  <w:footnote w:type="continuationSeparator" w:id="0">
    <w:p w14:paraId="41C0FB78" w14:textId="77777777" w:rsidR="00887560" w:rsidRDefault="00887560" w:rsidP="00771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E2FB" w14:textId="6DDF8BB5" w:rsidR="004E2E07" w:rsidRDefault="004E2E07" w:rsidP="00BC38F9">
    <w:pPr>
      <w:tabs>
        <w:tab w:val="left" w:pos="2459"/>
      </w:tabs>
      <w:ind w:left="-284"/>
      <w:jc w:val="right"/>
      <w:rPr>
        <w:rFonts w:asciiTheme="majorBidi" w:hAnsiTheme="majorBidi" w:cstheme="majorBidi"/>
        <w:b/>
        <w:bCs/>
        <w:color w:val="2F5496" w:themeColor="accent1" w:themeShade="BF"/>
        <w:sz w:val="44"/>
        <w:szCs w:val="44"/>
      </w:rPr>
    </w:pPr>
    <w:r>
      <w:rPr>
        <w:b/>
        <w:bCs/>
        <w:noProof/>
        <w:color w:val="CF9D41"/>
        <w:kern w:val="24"/>
        <w:sz w:val="28"/>
        <w:szCs w:val="28"/>
        <w:u w:color="CF9D41"/>
      </w:rPr>
      <w:drawing>
        <wp:anchor distT="0" distB="0" distL="114300" distR="114300" simplePos="0" relativeHeight="251661312" behindDoc="0" locked="0" layoutInCell="1" allowOverlap="1" wp14:anchorId="1B7838DD" wp14:editId="2D01FD3C">
          <wp:simplePos x="0" y="0"/>
          <wp:positionH relativeFrom="column">
            <wp:posOffset>4129405</wp:posOffset>
          </wp:positionH>
          <wp:positionV relativeFrom="paragraph">
            <wp:posOffset>122555</wp:posOffset>
          </wp:positionV>
          <wp:extent cx="1607185" cy="1104265"/>
          <wp:effectExtent l="0" t="0" r="0" b="635"/>
          <wp:wrapThrough wrapText="bothSides">
            <wp:wrapPolygon edited="0">
              <wp:start x="0" y="0"/>
              <wp:lineTo x="0" y="21240"/>
              <wp:lineTo x="21250" y="21240"/>
              <wp:lineTo x="21250" y="0"/>
              <wp:lineTo x="0" y="0"/>
            </wp:wrapPolygon>
          </wp:wrapThrough>
          <wp:docPr id="1870989353" name="Image 1870989353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 descr="Une image contenant texte, Police, logo, Graphiqu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BBEFE1C" wp14:editId="1BCBB52B">
          <wp:simplePos x="0" y="0"/>
          <wp:positionH relativeFrom="margin">
            <wp:posOffset>5080</wp:posOffset>
          </wp:positionH>
          <wp:positionV relativeFrom="paragraph">
            <wp:posOffset>-11430</wp:posOffset>
          </wp:positionV>
          <wp:extent cx="931652" cy="1235902"/>
          <wp:effectExtent l="0" t="0" r="1905" b="2540"/>
          <wp:wrapSquare wrapText="bothSides"/>
          <wp:docPr id="1" name="Image 1" descr="Une image contenant texte, Police, logo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logo, capture d’écran&#10;&#10;Le contenu généré par l’IA peut êtr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652" cy="1235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D0B3A7" w14:textId="269BDE4C" w:rsidR="004E2E07" w:rsidRDefault="004E2E07" w:rsidP="00BC38F9">
    <w:pPr>
      <w:tabs>
        <w:tab w:val="left" w:pos="2459"/>
      </w:tabs>
      <w:ind w:left="-284"/>
      <w:jc w:val="right"/>
      <w:rPr>
        <w:rFonts w:asciiTheme="majorBidi" w:hAnsiTheme="majorBidi" w:cstheme="majorBidi"/>
        <w:b/>
        <w:bCs/>
        <w:color w:val="2F5496" w:themeColor="accent1" w:themeShade="BF"/>
        <w:sz w:val="44"/>
        <w:szCs w:val="44"/>
      </w:rPr>
    </w:pPr>
  </w:p>
  <w:p w14:paraId="5227503D" w14:textId="7C4773A8" w:rsidR="00BC38F9" w:rsidRPr="006009F2" w:rsidRDefault="00BC38F9" w:rsidP="00BC38F9">
    <w:pPr>
      <w:tabs>
        <w:tab w:val="left" w:pos="2459"/>
      </w:tabs>
      <w:ind w:left="-284"/>
      <w:jc w:val="right"/>
      <w:rPr>
        <w:b/>
        <w:bCs/>
        <w:sz w:val="44"/>
        <w:szCs w:val="44"/>
      </w:rPr>
    </w:pPr>
  </w:p>
  <w:p w14:paraId="7AD9A7E8" w14:textId="76102BBB" w:rsidR="00BC38F9" w:rsidRDefault="00BC38F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539FC"/>
    <w:multiLevelType w:val="hybridMultilevel"/>
    <w:tmpl w:val="6C02E3E4"/>
    <w:lvl w:ilvl="0" w:tplc="571C506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1654F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4E23E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E0D15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AC200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66431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2AB67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16DFA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40295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1010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C5"/>
    <w:rsid w:val="000043E4"/>
    <w:rsid w:val="00021878"/>
    <w:rsid w:val="00061583"/>
    <w:rsid w:val="000735A1"/>
    <w:rsid w:val="0008271B"/>
    <w:rsid w:val="000A3717"/>
    <w:rsid w:val="000F3573"/>
    <w:rsid w:val="0011314E"/>
    <w:rsid w:val="00120B99"/>
    <w:rsid w:val="00125670"/>
    <w:rsid w:val="0016099F"/>
    <w:rsid w:val="001727DB"/>
    <w:rsid w:val="001853C5"/>
    <w:rsid w:val="001B658C"/>
    <w:rsid w:val="001E2055"/>
    <w:rsid w:val="001F513B"/>
    <w:rsid w:val="00233072"/>
    <w:rsid w:val="00281029"/>
    <w:rsid w:val="00286C83"/>
    <w:rsid w:val="002A67A3"/>
    <w:rsid w:val="002B3FCE"/>
    <w:rsid w:val="002E744A"/>
    <w:rsid w:val="002E7A70"/>
    <w:rsid w:val="002F6E2A"/>
    <w:rsid w:val="00313B68"/>
    <w:rsid w:val="003143D4"/>
    <w:rsid w:val="0032499D"/>
    <w:rsid w:val="00377714"/>
    <w:rsid w:val="0038739B"/>
    <w:rsid w:val="0039106D"/>
    <w:rsid w:val="00391A46"/>
    <w:rsid w:val="003B7940"/>
    <w:rsid w:val="003C0A34"/>
    <w:rsid w:val="003D6E6E"/>
    <w:rsid w:val="003E379D"/>
    <w:rsid w:val="0042533A"/>
    <w:rsid w:val="004632CD"/>
    <w:rsid w:val="004654CD"/>
    <w:rsid w:val="004709E3"/>
    <w:rsid w:val="00485CDE"/>
    <w:rsid w:val="00493358"/>
    <w:rsid w:val="00494AC6"/>
    <w:rsid w:val="00495899"/>
    <w:rsid w:val="004E2E07"/>
    <w:rsid w:val="00524D18"/>
    <w:rsid w:val="00527B70"/>
    <w:rsid w:val="00550078"/>
    <w:rsid w:val="00561B4F"/>
    <w:rsid w:val="005678D7"/>
    <w:rsid w:val="00577E5E"/>
    <w:rsid w:val="0059649C"/>
    <w:rsid w:val="005A1010"/>
    <w:rsid w:val="005B4F49"/>
    <w:rsid w:val="005C5E70"/>
    <w:rsid w:val="005F5F19"/>
    <w:rsid w:val="006009F2"/>
    <w:rsid w:val="00620543"/>
    <w:rsid w:val="006238D9"/>
    <w:rsid w:val="00623A5D"/>
    <w:rsid w:val="00642AD8"/>
    <w:rsid w:val="00650A6F"/>
    <w:rsid w:val="006607C4"/>
    <w:rsid w:val="00681FAF"/>
    <w:rsid w:val="00695BD0"/>
    <w:rsid w:val="006A75C5"/>
    <w:rsid w:val="006B19B8"/>
    <w:rsid w:val="006D5DDE"/>
    <w:rsid w:val="00701498"/>
    <w:rsid w:val="00707437"/>
    <w:rsid w:val="007148BC"/>
    <w:rsid w:val="00731106"/>
    <w:rsid w:val="00743EB2"/>
    <w:rsid w:val="0075402B"/>
    <w:rsid w:val="00771D99"/>
    <w:rsid w:val="00773C0A"/>
    <w:rsid w:val="00790B97"/>
    <w:rsid w:val="00807473"/>
    <w:rsid w:val="00815238"/>
    <w:rsid w:val="00841EDA"/>
    <w:rsid w:val="00861FBB"/>
    <w:rsid w:val="0086595D"/>
    <w:rsid w:val="00887560"/>
    <w:rsid w:val="008E32A6"/>
    <w:rsid w:val="00906813"/>
    <w:rsid w:val="00907E95"/>
    <w:rsid w:val="00912C94"/>
    <w:rsid w:val="00917298"/>
    <w:rsid w:val="00933E42"/>
    <w:rsid w:val="00943D72"/>
    <w:rsid w:val="00977068"/>
    <w:rsid w:val="009811C3"/>
    <w:rsid w:val="00993EBE"/>
    <w:rsid w:val="009D47CF"/>
    <w:rsid w:val="009D73A2"/>
    <w:rsid w:val="00A05E08"/>
    <w:rsid w:val="00A22196"/>
    <w:rsid w:val="00A4183E"/>
    <w:rsid w:val="00A52C0E"/>
    <w:rsid w:val="00A63701"/>
    <w:rsid w:val="00AA63C7"/>
    <w:rsid w:val="00AA6791"/>
    <w:rsid w:val="00AB0184"/>
    <w:rsid w:val="00AB53D9"/>
    <w:rsid w:val="00AD725A"/>
    <w:rsid w:val="00B33001"/>
    <w:rsid w:val="00B4494D"/>
    <w:rsid w:val="00B7099A"/>
    <w:rsid w:val="00B91780"/>
    <w:rsid w:val="00B91ABB"/>
    <w:rsid w:val="00BA502B"/>
    <w:rsid w:val="00BC38F9"/>
    <w:rsid w:val="00BE03BC"/>
    <w:rsid w:val="00BF55C4"/>
    <w:rsid w:val="00BF5766"/>
    <w:rsid w:val="00C07096"/>
    <w:rsid w:val="00C26895"/>
    <w:rsid w:val="00C318F8"/>
    <w:rsid w:val="00C334C2"/>
    <w:rsid w:val="00C62B60"/>
    <w:rsid w:val="00CA18AA"/>
    <w:rsid w:val="00CA5C9C"/>
    <w:rsid w:val="00CD723E"/>
    <w:rsid w:val="00CE5D7F"/>
    <w:rsid w:val="00CF6D72"/>
    <w:rsid w:val="00D319F3"/>
    <w:rsid w:val="00D56B06"/>
    <w:rsid w:val="00D93005"/>
    <w:rsid w:val="00D93D36"/>
    <w:rsid w:val="00DA7BF4"/>
    <w:rsid w:val="00DC0A60"/>
    <w:rsid w:val="00DC4234"/>
    <w:rsid w:val="00DE19FB"/>
    <w:rsid w:val="00DE51CE"/>
    <w:rsid w:val="00E07293"/>
    <w:rsid w:val="00E1525A"/>
    <w:rsid w:val="00E16223"/>
    <w:rsid w:val="00E20792"/>
    <w:rsid w:val="00E22CAC"/>
    <w:rsid w:val="00E44889"/>
    <w:rsid w:val="00E72C50"/>
    <w:rsid w:val="00E73679"/>
    <w:rsid w:val="00E83393"/>
    <w:rsid w:val="00E90422"/>
    <w:rsid w:val="00E904E1"/>
    <w:rsid w:val="00EB517D"/>
    <w:rsid w:val="00EB576F"/>
    <w:rsid w:val="00EE6709"/>
    <w:rsid w:val="00EE6C71"/>
    <w:rsid w:val="00EF12E5"/>
    <w:rsid w:val="00F07D60"/>
    <w:rsid w:val="00F233E4"/>
    <w:rsid w:val="00F32C65"/>
    <w:rsid w:val="00F3457D"/>
    <w:rsid w:val="00F65331"/>
    <w:rsid w:val="00F86663"/>
    <w:rsid w:val="00FA614E"/>
    <w:rsid w:val="00FC76AC"/>
    <w:rsid w:val="00FD0CE8"/>
    <w:rsid w:val="00FE29C7"/>
    <w:rsid w:val="00FE6329"/>
    <w:rsid w:val="00FF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D7FE0"/>
  <w15:chartTrackingRefBased/>
  <w15:docId w15:val="{A0210F27-4DAC-4F08-81A4-23DC0B45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71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1D99"/>
  </w:style>
  <w:style w:type="paragraph" w:styleId="Pieddepage">
    <w:name w:val="footer"/>
    <w:basedOn w:val="Normal"/>
    <w:link w:val="PieddepageCar"/>
    <w:uiPriority w:val="99"/>
    <w:unhideWhenUsed/>
    <w:rsid w:val="00771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1D99"/>
  </w:style>
  <w:style w:type="paragraph" w:styleId="NormalWeb">
    <w:name w:val="Normal (Web)"/>
    <w:basedOn w:val="Normal"/>
    <w:uiPriority w:val="99"/>
    <w:semiHidden/>
    <w:unhideWhenUsed/>
    <w:rsid w:val="00C62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MA" w:eastAsia="fr-MA"/>
    </w:rPr>
  </w:style>
  <w:style w:type="paragraph" w:styleId="Paragraphedeliste">
    <w:name w:val="List Paragraph"/>
    <w:basedOn w:val="Normal"/>
    <w:uiPriority w:val="34"/>
    <w:qFormat/>
    <w:rsid w:val="00D319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fr-MA" w:eastAsia="f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2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381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DARRY</dc:creator>
  <cp:keywords/>
  <dc:description/>
  <cp:lastModifiedBy>Hajar DEHHANI</cp:lastModifiedBy>
  <cp:revision>2</cp:revision>
  <dcterms:created xsi:type="dcterms:W3CDTF">2025-07-17T14:24:00Z</dcterms:created>
  <dcterms:modified xsi:type="dcterms:W3CDTF">2025-07-17T14:24:00Z</dcterms:modified>
</cp:coreProperties>
</file>